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6E58" w:rsidRDefault="00D66E58" w:rsidP="00D66E58">
      <w:pPr>
        <w:pStyle w:val="1"/>
        <w:ind w:left="1290"/>
        <w:rPr>
          <w:rFonts w:hint="eastAsia"/>
        </w:rPr>
      </w:pPr>
      <w:bookmarkStart w:id="0" w:name="_Toc56985537"/>
      <w:bookmarkStart w:id="1" w:name="_Toc512937852"/>
      <w:r>
        <w:rPr>
          <w:rFonts w:hint="eastAsia"/>
        </w:rPr>
        <w:t>项目需求</w:t>
      </w:r>
      <w:bookmarkEnd w:id="0"/>
    </w:p>
    <w:bookmarkEnd w:id="1"/>
    <w:p w:rsidR="00D66E58" w:rsidRDefault="00D66E58" w:rsidP="00D66E58">
      <w:pPr>
        <w:rPr>
          <w:rFonts w:ascii="宋体" w:hAnsi="宋体" w:hint="eastAsia"/>
          <w:b/>
          <w:sz w:val="24"/>
        </w:rPr>
      </w:pPr>
      <w:r>
        <w:rPr>
          <w:rFonts w:ascii="宋体" w:hAnsi="宋体" w:hint="eastAsia"/>
          <w:b/>
          <w:sz w:val="24"/>
        </w:rPr>
        <w:t>第一节．需求一览表</w:t>
      </w:r>
    </w:p>
    <w:p w:rsidR="00D66E58" w:rsidRDefault="00D66E58" w:rsidP="00D66E58">
      <w:pPr>
        <w:rPr>
          <w:rFonts w:ascii="宋体" w:hAnsi="宋体" w:hint="eastAsia"/>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83"/>
        <w:gridCol w:w="1559"/>
        <w:gridCol w:w="3260"/>
        <w:gridCol w:w="993"/>
        <w:gridCol w:w="1580"/>
      </w:tblGrid>
      <w:tr w:rsidR="00D66E58" w:rsidTr="00D66272">
        <w:trPr>
          <w:jc w:val="center"/>
        </w:trPr>
        <w:tc>
          <w:tcPr>
            <w:tcW w:w="783" w:type="dxa"/>
            <w:vAlign w:val="center"/>
          </w:tcPr>
          <w:p w:rsidR="00D66E58" w:rsidRDefault="00D66E58" w:rsidP="00D66272">
            <w:pPr>
              <w:widowControl/>
              <w:jc w:val="center"/>
              <w:rPr>
                <w:rFonts w:ascii="宋体" w:hAnsi="宋体" w:cs="Arial" w:hint="eastAsia"/>
                <w:bCs/>
                <w:kern w:val="0"/>
                <w:sz w:val="24"/>
              </w:rPr>
            </w:pPr>
            <w:r>
              <w:rPr>
                <w:rFonts w:ascii="宋体" w:hAnsi="宋体" w:cs="Arial" w:hint="eastAsia"/>
                <w:bCs/>
                <w:kern w:val="0"/>
                <w:sz w:val="24"/>
              </w:rPr>
              <w:t>包号</w:t>
            </w:r>
          </w:p>
        </w:tc>
        <w:tc>
          <w:tcPr>
            <w:tcW w:w="1559" w:type="dxa"/>
            <w:vAlign w:val="center"/>
          </w:tcPr>
          <w:p w:rsidR="00D66E58" w:rsidRDefault="00D66E58" w:rsidP="00D66272">
            <w:pPr>
              <w:widowControl/>
              <w:jc w:val="center"/>
              <w:rPr>
                <w:rFonts w:ascii="宋体" w:hAnsi="宋体" w:cs="Arial" w:hint="eastAsia"/>
                <w:kern w:val="0"/>
                <w:sz w:val="24"/>
              </w:rPr>
            </w:pPr>
            <w:r>
              <w:rPr>
                <w:rFonts w:ascii="宋体" w:hAnsi="宋体" w:cs="Arial" w:hint="eastAsia"/>
                <w:kern w:val="0"/>
                <w:sz w:val="24"/>
              </w:rPr>
              <w:t>项目名称</w:t>
            </w:r>
          </w:p>
        </w:tc>
        <w:tc>
          <w:tcPr>
            <w:tcW w:w="3260" w:type="dxa"/>
            <w:vAlign w:val="center"/>
          </w:tcPr>
          <w:p w:rsidR="00D66E58" w:rsidRDefault="00D66E58" w:rsidP="00D66272">
            <w:pPr>
              <w:widowControl/>
              <w:jc w:val="center"/>
              <w:rPr>
                <w:rFonts w:ascii="宋体" w:hAnsi="宋体" w:cs="Arial" w:hint="eastAsia"/>
                <w:kern w:val="0"/>
                <w:sz w:val="24"/>
              </w:rPr>
            </w:pPr>
            <w:r>
              <w:rPr>
                <w:rFonts w:ascii="宋体" w:hAnsi="宋体" w:cs="Arial" w:hint="eastAsia"/>
                <w:kern w:val="0"/>
                <w:sz w:val="24"/>
              </w:rPr>
              <w:t>服务内容</w:t>
            </w:r>
          </w:p>
        </w:tc>
        <w:tc>
          <w:tcPr>
            <w:tcW w:w="993" w:type="dxa"/>
            <w:vAlign w:val="center"/>
          </w:tcPr>
          <w:p w:rsidR="00D66E58" w:rsidRDefault="00D66E58" w:rsidP="00D66272">
            <w:pPr>
              <w:widowControl/>
              <w:jc w:val="center"/>
              <w:rPr>
                <w:rFonts w:ascii="宋体" w:hAnsi="宋体" w:cs="Arial" w:hint="eastAsia"/>
                <w:kern w:val="0"/>
                <w:sz w:val="24"/>
              </w:rPr>
            </w:pPr>
            <w:r>
              <w:rPr>
                <w:rFonts w:ascii="宋体" w:hAnsi="宋体" w:cs="Arial" w:hint="eastAsia"/>
                <w:kern w:val="0"/>
                <w:sz w:val="24"/>
              </w:rPr>
              <w:t>服务期</w:t>
            </w:r>
          </w:p>
        </w:tc>
        <w:tc>
          <w:tcPr>
            <w:tcW w:w="1580" w:type="dxa"/>
            <w:vAlign w:val="center"/>
          </w:tcPr>
          <w:p w:rsidR="00D66E58" w:rsidRDefault="00D66E58" w:rsidP="00D66272">
            <w:pPr>
              <w:widowControl/>
              <w:jc w:val="center"/>
              <w:rPr>
                <w:rFonts w:ascii="宋体" w:hAnsi="宋体" w:cs="Arial"/>
                <w:kern w:val="0"/>
                <w:sz w:val="24"/>
              </w:rPr>
            </w:pPr>
            <w:r>
              <w:rPr>
                <w:rFonts w:ascii="宋体" w:hAnsi="宋体" w:cs="Arial" w:hint="eastAsia"/>
                <w:kern w:val="0"/>
                <w:sz w:val="24"/>
              </w:rPr>
              <w:t>项目预算</w:t>
            </w:r>
          </w:p>
          <w:p w:rsidR="00D66E58" w:rsidRDefault="00D66E58" w:rsidP="00D66272">
            <w:pPr>
              <w:widowControl/>
              <w:jc w:val="center"/>
              <w:rPr>
                <w:rFonts w:ascii="宋体" w:hAnsi="宋体" w:cs="Arial" w:hint="eastAsia"/>
                <w:kern w:val="0"/>
                <w:sz w:val="24"/>
              </w:rPr>
            </w:pPr>
            <w:r>
              <w:rPr>
                <w:rFonts w:ascii="宋体" w:hAnsi="宋体" w:cs="Arial" w:hint="eastAsia"/>
                <w:kern w:val="0"/>
                <w:sz w:val="24"/>
              </w:rPr>
              <w:t>(万元)</w:t>
            </w:r>
          </w:p>
        </w:tc>
      </w:tr>
      <w:tr w:rsidR="00D66E58" w:rsidTr="00D66272">
        <w:trPr>
          <w:jc w:val="center"/>
        </w:trPr>
        <w:tc>
          <w:tcPr>
            <w:tcW w:w="783" w:type="dxa"/>
            <w:vAlign w:val="center"/>
          </w:tcPr>
          <w:p w:rsidR="00D66E58" w:rsidRDefault="00D66E58" w:rsidP="00D66272">
            <w:pPr>
              <w:widowControl/>
              <w:jc w:val="center"/>
              <w:rPr>
                <w:rFonts w:ascii="宋体" w:hAnsi="宋体" w:cs="Arial" w:hint="eastAsia"/>
                <w:bCs/>
                <w:kern w:val="0"/>
                <w:sz w:val="24"/>
              </w:rPr>
            </w:pPr>
            <w:r>
              <w:rPr>
                <w:rFonts w:ascii="宋体" w:hAnsi="宋体" w:cs="Arial" w:hint="eastAsia"/>
                <w:bCs/>
                <w:kern w:val="0"/>
                <w:sz w:val="24"/>
              </w:rPr>
              <w:t>01</w:t>
            </w:r>
          </w:p>
        </w:tc>
        <w:tc>
          <w:tcPr>
            <w:tcW w:w="1559" w:type="dxa"/>
            <w:vAlign w:val="center"/>
          </w:tcPr>
          <w:p w:rsidR="00D66E58" w:rsidRDefault="00D66E58" w:rsidP="00D66272">
            <w:pPr>
              <w:widowControl/>
              <w:jc w:val="center"/>
              <w:rPr>
                <w:rFonts w:ascii="宋体" w:hAnsi="宋体" w:cs="Arial" w:hint="eastAsia"/>
                <w:kern w:val="0"/>
                <w:sz w:val="24"/>
              </w:rPr>
            </w:pPr>
            <w:r>
              <w:rPr>
                <w:rFonts w:ascii="宋体" w:hAnsi="宋体" w:cs="宋体" w:hint="eastAsia"/>
                <w:color w:val="000000"/>
                <w:kern w:val="0"/>
                <w:sz w:val="24"/>
                <w:lang w:bidi="ar"/>
              </w:rPr>
              <w:t>基因检测服务</w:t>
            </w:r>
          </w:p>
        </w:tc>
        <w:tc>
          <w:tcPr>
            <w:tcW w:w="3260" w:type="dxa"/>
            <w:vAlign w:val="center"/>
          </w:tcPr>
          <w:p w:rsidR="00D66E58" w:rsidRDefault="00D66E58" w:rsidP="00D66272">
            <w:pPr>
              <w:pStyle w:val="a3"/>
              <w:rPr>
                <w:rFonts w:ascii="宋体" w:hAnsi="宋体" w:hint="eastAsia"/>
                <w:sz w:val="24"/>
              </w:rPr>
            </w:pPr>
            <w:r>
              <w:rPr>
                <w:rFonts w:ascii="宋体" w:hAnsi="宋体" w:hint="eastAsia"/>
                <w:sz w:val="24"/>
              </w:rPr>
              <w:t>北京大学第三医院有部分基因检测项目需外送第三方临床检测机构进行检测分析，拟选择1家供应商承接此项服务。</w:t>
            </w:r>
          </w:p>
        </w:tc>
        <w:tc>
          <w:tcPr>
            <w:tcW w:w="993" w:type="dxa"/>
            <w:vAlign w:val="center"/>
          </w:tcPr>
          <w:p w:rsidR="00D66E58" w:rsidRDefault="00D66E58" w:rsidP="00D66272">
            <w:pPr>
              <w:widowControl/>
              <w:jc w:val="center"/>
              <w:rPr>
                <w:rFonts w:ascii="宋体" w:hAnsi="宋体" w:cs="Arial"/>
                <w:kern w:val="0"/>
                <w:sz w:val="24"/>
              </w:rPr>
            </w:pPr>
            <w:r>
              <w:rPr>
                <w:rFonts w:ascii="宋体" w:hAnsi="宋体" w:cs="Arial"/>
                <w:kern w:val="0"/>
                <w:sz w:val="24"/>
              </w:rPr>
              <w:t>1</w:t>
            </w:r>
            <w:r>
              <w:rPr>
                <w:rFonts w:ascii="宋体" w:hAnsi="宋体" w:cs="Arial" w:hint="eastAsia"/>
                <w:kern w:val="0"/>
                <w:sz w:val="24"/>
              </w:rPr>
              <w:t>年</w:t>
            </w:r>
          </w:p>
        </w:tc>
        <w:tc>
          <w:tcPr>
            <w:tcW w:w="1580" w:type="dxa"/>
            <w:vAlign w:val="center"/>
          </w:tcPr>
          <w:p w:rsidR="00D66E58" w:rsidRDefault="00D66E58" w:rsidP="00D66272">
            <w:pPr>
              <w:widowControl/>
              <w:jc w:val="center"/>
              <w:rPr>
                <w:rFonts w:ascii="宋体" w:hAnsi="宋体" w:cs="Arial" w:hint="eastAsia"/>
                <w:kern w:val="0"/>
                <w:sz w:val="24"/>
              </w:rPr>
            </w:pPr>
            <w:r>
              <w:rPr>
                <w:rFonts w:ascii="宋体" w:hAnsi="宋体" w:cs="Arial"/>
                <w:kern w:val="0"/>
                <w:sz w:val="24"/>
              </w:rPr>
              <w:t>95</w:t>
            </w:r>
          </w:p>
        </w:tc>
      </w:tr>
      <w:tr w:rsidR="00D66E58" w:rsidTr="00D66272">
        <w:trPr>
          <w:jc w:val="center"/>
        </w:trPr>
        <w:tc>
          <w:tcPr>
            <w:tcW w:w="8175" w:type="dxa"/>
            <w:gridSpan w:val="5"/>
            <w:vAlign w:val="center"/>
          </w:tcPr>
          <w:p w:rsidR="00D66E58" w:rsidRDefault="00D66E58" w:rsidP="00D66272">
            <w:pPr>
              <w:spacing w:line="360" w:lineRule="auto"/>
              <w:rPr>
                <w:rFonts w:ascii="宋体" w:hAnsi="宋体" w:cs="宋体"/>
                <w:kern w:val="1"/>
                <w:sz w:val="24"/>
              </w:rPr>
            </w:pPr>
            <w:r>
              <w:rPr>
                <w:rFonts w:ascii="宋体" w:hAnsi="宋体" w:cs="宋体" w:hint="eastAsia"/>
                <w:kern w:val="1"/>
                <w:sz w:val="24"/>
              </w:rPr>
              <w:t>注：</w:t>
            </w:r>
          </w:p>
          <w:p w:rsidR="00D66E58" w:rsidRDefault="00D66E58" w:rsidP="00D66272">
            <w:pPr>
              <w:spacing w:line="360" w:lineRule="auto"/>
              <w:rPr>
                <w:rFonts w:ascii="宋体" w:hAnsi="宋体" w:cs="Arial" w:hint="eastAsia"/>
                <w:kern w:val="0"/>
                <w:sz w:val="24"/>
              </w:rPr>
            </w:pPr>
            <w:r>
              <w:rPr>
                <w:rFonts w:ascii="宋体" w:hAnsi="宋体" w:cs="Arial" w:hint="eastAsia"/>
                <w:kern w:val="0"/>
                <w:sz w:val="24"/>
              </w:rPr>
              <w:t>1.本项目检测服务费</w:t>
            </w:r>
            <w:r w:rsidRPr="006A3B77">
              <w:rPr>
                <w:rFonts w:ascii="宋体" w:hAnsi="宋体" w:cs="Arial" w:hint="eastAsia"/>
                <w:kern w:val="0"/>
                <w:sz w:val="24"/>
              </w:rPr>
              <w:t>按检测项目收费标准×投标折扣进行计算</w:t>
            </w:r>
            <w:r>
              <w:rPr>
                <w:rFonts w:ascii="宋体" w:hAnsi="宋体" w:cs="Arial" w:hint="eastAsia"/>
                <w:kern w:val="0"/>
                <w:sz w:val="24"/>
              </w:rPr>
              <w:t>，按实际发生检测量结算，年结算金额不超过95万元。</w:t>
            </w:r>
          </w:p>
          <w:p w:rsidR="00D66E58" w:rsidRDefault="00D66E58" w:rsidP="00D66272">
            <w:pPr>
              <w:spacing w:line="360" w:lineRule="auto"/>
              <w:rPr>
                <w:rFonts w:ascii="宋体" w:hAnsi="宋体" w:cs="Arial" w:hint="eastAsia"/>
                <w:kern w:val="0"/>
                <w:sz w:val="24"/>
              </w:rPr>
            </w:pPr>
            <w:r>
              <w:rPr>
                <w:rFonts w:ascii="宋体" w:hAnsi="宋体" w:cs="Arial" w:hint="eastAsia"/>
                <w:kern w:val="0"/>
                <w:sz w:val="24"/>
              </w:rPr>
              <w:t>2.服务区域：</w:t>
            </w:r>
            <w:r>
              <w:rPr>
                <w:rFonts w:ascii="宋体" w:hAnsi="宋体" w:cs="Arial" w:hint="eastAsia"/>
                <w:kern w:val="0"/>
                <w:sz w:val="24"/>
                <w:u w:val="single"/>
              </w:rPr>
              <w:t>北京大学第三医院本部、首都国际机场院区、北方院区及大兴机场院区体检中心</w:t>
            </w:r>
            <w:r>
              <w:rPr>
                <w:rFonts w:ascii="宋体" w:hAnsi="宋体" w:cs="Arial" w:hint="eastAsia"/>
                <w:kern w:val="0"/>
                <w:sz w:val="24"/>
              </w:rPr>
              <w:t>。</w:t>
            </w:r>
          </w:p>
        </w:tc>
      </w:tr>
    </w:tbl>
    <w:p w:rsidR="00D66E58" w:rsidRDefault="00D66E58" w:rsidP="00D66E58">
      <w:pPr>
        <w:jc w:val="left"/>
        <w:rPr>
          <w:rFonts w:ascii="宋体" w:hAnsi="宋体" w:hint="eastAsia"/>
        </w:rPr>
      </w:pPr>
    </w:p>
    <w:p w:rsidR="00D66E58" w:rsidRDefault="00D66E58" w:rsidP="00D66E58">
      <w:pPr>
        <w:spacing w:line="360" w:lineRule="auto"/>
        <w:rPr>
          <w:rFonts w:ascii="宋体" w:hAnsi="宋体"/>
          <w:b/>
          <w:sz w:val="24"/>
        </w:rPr>
      </w:pPr>
      <w:r>
        <w:rPr>
          <w:rFonts w:ascii="宋体" w:hAnsi="宋体" w:hint="eastAsia"/>
          <w:b/>
          <w:sz w:val="24"/>
        </w:rPr>
        <w:t>第二节．具体服务需求</w:t>
      </w:r>
    </w:p>
    <w:p w:rsidR="00D66E58" w:rsidRDefault="00D66E58" w:rsidP="00D66E58">
      <w:pPr>
        <w:widowControl/>
        <w:spacing w:line="360" w:lineRule="auto"/>
        <w:jc w:val="left"/>
        <w:rPr>
          <w:rFonts w:ascii="宋体" w:hAnsi="宋体"/>
          <w:b/>
          <w:sz w:val="24"/>
        </w:rPr>
      </w:pPr>
      <w:r>
        <w:rPr>
          <w:rFonts w:ascii="宋体" w:hAnsi="宋体" w:hint="eastAsia"/>
          <w:b/>
          <w:sz w:val="24"/>
        </w:rPr>
        <w:t>一、项目概述</w:t>
      </w:r>
    </w:p>
    <w:p w:rsidR="00D66E58" w:rsidRDefault="00D66E58" w:rsidP="00D66E58">
      <w:pPr>
        <w:widowControl/>
        <w:spacing w:line="360" w:lineRule="auto"/>
        <w:jc w:val="left"/>
        <w:rPr>
          <w:rFonts w:ascii="宋体" w:hAnsi="宋体" w:hint="eastAsia"/>
          <w:bCs/>
          <w:sz w:val="24"/>
        </w:rPr>
      </w:pPr>
      <w:r>
        <w:rPr>
          <w:rFonts w:ascii="宋体" w:hAnsi="宋体" w:hint="eastAsia"/>
          <w:b/>
          <w:sz w:val="24"/>
        </w:rPr>
        <w:t xml:space="preserve">   </w:t>
      </w:r>
      <w:r>
        <w:rPr>
          <w:rFonts w:ascii="宋体" w:hAnsi="宋体" w:hint="eastAsia"/>
          <w:bCs/>
          <w:sz w:val="24"/>
        </w:rPr>
        <w:t xml:space="preserve"> 北京大学第三医院因体检业务需求，有部分基因检测项目需外送第三方临床检测机构进行检测分析。因此要求提供相关检测项目检测服务的第三方临床检测机构必须能够提供以下基因检测项目的检验检测服务。</w:t>
      </w:r>
    </w:p>
    <w:p w:rsidR="00D66E58" w:rsidRDefault="00D66E58" w:rsidP="00D66E58">
      <w:pPr>
        <w:widowControl/>
        <w:spacing w:line="360" w:lineRule="auto"/>
        <w:ind w:firstLineChars="200" w:firstLine="480"/>
        <w:jc w:val="left"/>
        <w:rPr>
          <w:rFonts w:ascii="宋体" w:hAnsi="宋体"/>
          <w:bCs/>
          <w:sz w:val="24"/>
          <w:highlight w:val="yellow"/>
        </w:rPr>
      </w:pPr>
      <w:r>
        <w:rPr>
          <w:rFonts w:ascii="宋体" w:hAnsi="宋体" w:hint="eastAsia"/>
          <w:bCs/>
          <w:sz w:val="24"/>
        </w:rPr>
        <w:t>具体检测项目包括：高度近视易感基因检测、肺癌易感基因检测、肝癌易感基因检测、胃癌易感基因检测等20项。</w:t>
      </w:r>
    </w:p>
    <w:p w:rsidR="00D66E58" w:rsidRDefault="00D66E58" w:rsidP="00D66E58">
      <w:pPr>
        <w:widowControl/>
        <w:spacing w:line="360" w:lineRule="auto"/>
        <w:jc w:val="left"/>
        <w:rPr>
          <w:rFonts w:ascii="宋体" w:hAnsi="宋体"/>
          <w:b/>
          <w:sz w:val="24"/>
        </w:rPr>
      </w:pPr>
    </w:p>
    <w:p w:rsidR="00D66E58" w:rsidRDefault="00D66E58" w:rsidP="00D66E58">
      <w:pPr>
        <w:widowControl/>
        <w:spacing w:line="360" w:lineRule="auto"/>
        <w:jc w:val="left"/>
        <w:rPr>
          <w:rFonts w:ascii="宋体" w:hAnsi="宋体"/>
          <w:b/>
          <w:sz w:val="24"/>
        </w:rPr>
      </w:pPr>
      <w:r>
        <w:rPr>
          <w:rFonts w:ascii="宋体" w:hAnsi="宋体" w:hint="eastAsia"/>
          <w:b/>
          <w:sz w:val="24"/>
        </w:rPr>
        <w:t>二、总体要求</w:t>
      </w:r>
    </w:p>
    <w:p w:rsidR="00D66E58" w:rsidRDefault="00D66E58" w:rsidP="00D66E58">
      <w:pPr>
        <w:pStyle w:val="12"/>
        <w:spacing w:line="360" w:lineRule="auto"/>
        <w:ind w:firstLine="480"/>
        <w:rPr>
          <w:rFonts w:ascii="宋体" w:hAnsi="宋体" w:hint="eastAsia"/>
          <w:bCs/>
          <w:sz w:val="24"/>
        </w:rPr>
      </w:pPr>
      <w:r>
        <w:rPr>
          <w:rFonts w:ascii="宋体" w:hAnsi="宋体" w:cs="宋体" w:hint="eastAsia"/>
          <w:sz w:val="24"/>
        </w:rPr>
        <w:t>1. 确保采购人基因检测服务项目的准确性、安全性以及时效性。</w:t>
      </w:r>
    </w:p>
    <w:p w:rsidR="00D66E58" w:rsidRDefault="00D66E58" w:rsidP="00D66E58">
      <w:pPr>
        <w:pStyle w:val="12"/>
        <w:numPr>
          <w:ilvl w:val="0"/>
          <w:numId w:val="1"/>
        </w:numPr>
        <w:tabs>
          <w:tab w:val="left" w:pos="312"/>
        </w:tabs>
        <w:spacing w:line="360" w:lineRule="auto"/>
        <w:ind w:firstLineChars="0" w:firstLine="480"/>
        <w:rPr>
          <w:rFonts w:ascii="宋体" w:hAnsi="宋体" w:cs="宋体" w:hint="eastAsia"/>
          <w:sz w:val="24"/>
        </w:rPr>
      </w:pPr>
      <w:r>
        <w:rPr>
          <w:rFonts w:ascii="宋体" w:hAnsi="宋体" w:cs="宋体" w:hint="eastAsia"/>
          <w:sz w:val="24"/>
        </w:rPr>
        <w:t>需执行的国家相关规范文件：《医学检验实验室管理暂行办法》。</w:t>
      </w:r>
    </w:p>
    <w:p w:rsidR="00D66E58" w:rsidRDefault="00D66E58" w:rsidP="00D66E58">
      <w:pPr>
        <w:pStyle w:val="12"/>
        <w:numPr>
          <w:ilvl w:val="0"/>
          <w:numId w:val="1"/>
        </w:numPr>
        <w:tabs>
          <w:tab w:val="left" w:pos="312"/>
        </w:tabs>
        <w:spacing w:line="360" w:lineRule="auto"/>
        <w:ind w:firstLine="480"/>
        <w:rPr>
          <w:rFonts w:ascii="宋体" w:hAnsi="宋体" w:cs="宋体" w:hint="eastAsia"/>
          <w:sz w:val="24"/>
        </w:rPr>
      </w:pPr>
      <w:r>
        <w:rPr>
          <w:rFonts w:ascii="宋体" w:hAnsi="宋体" w:cs="宋体" w:hint="eastAsia"/>
          <w:sz w:val="24"/>
        </w:rPr>
        <w:t>医学检验实验室应当具备法定的机构、人员资质及符合要求的设备、试剂。</w:t>
      </w:r>
    </w:p>
    <w:p w:rsidR="00D66E58" w:rsidRDefault="00D66E58" w:rsidP="00D66E58">
      <w:pPr>
        <w:pStyle w:val="12"/>
        <w:spacing w:line="360" w:lineRule="auto"/>
        <w:ind w:firstLineChars="0" w:firstLine="480"/>
        <w:rPr>
          <w:rFonts w:ascii="宋体" w:hAnsi="宋体" w:cs="宋体" w:hint="eastAsia"/>
          <w:sz w:val="24"/>
        </w:rPr>
      </w:pPr>
      <w:r>
        <w:rPr>
          <w:rFonts w:ascii="宋体" w:hAnsi="宋体" w:cs="宋体" w:hint="eastAsia"/>
          <w:sz w:val="24"/>
        </w:rPr>
        <w:t>4.医学检验实验室为开展个体化医学检测试点单位，为国家基因检测示范中心（建设单位）。</w:t>
      </w:r>
    </w:p>
    <w:p w:rsidR="00D66E58" w:rsidRDefault="00D66E58" w:rsidP="00D66E58">
      <w:pPr>
        <w:pStyle w:val="12"/>
        <w:spacing w:line="360" w:lineRule="auto"/>
        <w:ind w:firstLineChars="0" w:firstLine="480"/>
        <w:rPr>
          <w:rFonts w:ascii="宋体" w:hAnsi="宋体" w:cs="宋体" w:hint="eastAsia"/>
          <w:sz w:val="24"/>
        </w:rPr>
      </w:pPr>
      <w:r>
        <w:rPr>
          <w:rFonts w:ascii="宋体" w:hAnsi="宋体" w:cs="宋体" w:hint="eastAsia"/>
          <w:sz w:val="24"/>
        </w:rPr>
        <w:t>5.医学检验实验室要严格室内质量控制，接受省级以上卫生行政部门组织开</w:t>
      </w:r>
      <w:r>
        <w:rPr>
          <w:rFonts w:ascii="宋体" w:hAnsi="宋体" w:cs="宋体" w:hint="eastAsia"/>
          <w:sz w:val="24"/>
        </w:rPr>
        <w:lastRenderedPageBreak/>
        <w:t>展的室间质量评价和监督检查。</w:t>
      </w:r>
    </w:p>
    <w:p w:rsidR="00D66E58" w:rsidRDefault="00D66E58" w:rsidP="00D66E58">
      <w:pPr>
        <w:pStyle w:val="12"/>
        <w:spacing w:line="360" w:lineRule="auto"/>
        <w:ind w:firstLineChars="0" w:firstLine="480"/>
        <w:rPr>
          <w:rFonts w:ascii="宋体" w:hAnsi="宋体" w:cs="宋体" w:hint="eastAsia"/>
          <w:sz w:val="24"/>
        </w:rPr>
      </w:pPr>
      <w:r>
        <w:rPr>
          <w:rFonts w:ascii="宋体" w:hAnsi="宋体" w:cs="宋体" w:hint="eastAsia"/>
          <w:sz w:val="24"/>
        </w:rPr>
        <w:t>6.加强信息安全管理，严格保护被检人员隐私，并对检测结果的客观性、真实性负责。</w:t>
      </w:r>
    </w:p>
    <w:p w:rsidR="00D66E58" w:rsidRDefault="00D66E58" w:rsidP="00D66E58">
      <w:pPr>
        <w:pStyle w:val="12"/>
        <w:spacing w:line="360" w:lineRule="auto"/>
        <w:ind w:firstLineChars="0" w:firstLine="480"/>
        <w:rPr>
          <w:rFonts w:ascii="宋体" w:hAnsi="宋体" w:cs="宋体"/>
          <w:sz w:val="24"/>
        </w:rPr>
      </w:pPr>
      <w:r>
        <w:rPr>
          <w:rFonts w:ascii="宋体" w:hAnsi="宋体" w:cs="宋体" w:hint="eastAsia"/>
          <w:sz w:val="24"/>
        </w:rPr>
        <w:t>7.检测项目要求按照现行国家标准（GB/T 29889-2013）“人体疾病易感 DNA 多态性检测基因芯片”执行。</w:t>
      </w:r>
    </w:p>
    <w:p w:rsidR="00D66E58" w:rsidRDefault="00D66E58" w:rsidP="00D66E58">
      <w:pPr>
        <w:pStyle w:val="12"/>
        <w:spacing w:line="360" w:lineRule="auto"/>
        <w:ind w:leftChars="114" w:left="239" w:firstLineChars="75" w:firstLine="180"/>
        <w:rPr>
          <w:rFonts w:ascii="宋体" w:hAnsi="宋体" w:cs="宋体" w:hint="eastAsia"/>
          <w:sz w:val="24"/>
        </w:rPr>
      </w:pPr>
      <w:r>
        <w:rPr>
          <w:rFonts w:ascii="宋体" w:hAnsi="宋体" w:cs="宋体" w:hint="eastAsia"/>
          <w:sz w:val="24"/>
        </w:rPr>
        <w:t>8.</w:t>
      </w:r>
      <w:r>
        <w:rPr>
          <w:rFonts w:ascii="宋体" w:hAnsi="宋体" w:hint="eastAsia"/>
          <w:bCs/>
          <w:sz w:val="24"/>
        </w:rPr>
        <w:t>对相关项目</w:t>
      </w:r>
      <w:r>
        <w:rPr>
          <w:rFonts w:ascii="宋体" w:hAnsi="宋体" w:cs="宋体" w:hint="eastAsia"/>
          <w:sz w:val="24"/>
        </w:rPr>
        <w:t>检测的基因位点在规范的文献数据库</w:t>
      </w:r>
      <w:r>
        <w:rPr>
          <w:rFonts w:ascii="宋体" w:hAnsi="宋体" w:hint="eastAsia"/>
          <w:bCs/>
          <w:sz w:val="24"/>
        </w:rPr>
        <w:t>进行检测分析。</w:t>
      </w:r>
    </w:p>
    <w:p w:rsidR="00D66E58" w:rsidRDefault="00D66E58" w:rsidP="00D66E58">
      <w:pPr>
        <w:pStyle w:val="12"/>
        <w:spacing w:line="360" w:lineRule="auto"/>
        <w:ind w:firstLineChars="175"/>
        <w:rPr>
          <w:rFonts w:ascii="宋体" w:hAnsi="宋体" w:hint="eastAsia"/>
          <w:bCs/>
          <w:color w:val="000000"/>
          <w:sz w:val="24"/>
        </w:rPr>
      </w:pPr>
      <w:r>
        <w:rPr>
          <w:rFonts w:ascii="宋体" w:hAnsi="宋体" w:cs="宋体" w:hint="eastAsia"/>
          <w:sz w:val="24"/>
        </w:rPr>
        <w:t>9.预计送检样本量约为36例/月。</w:t>
      </w:r>
      <w:r>
        <w:rPr>
          <w:rFonts w:ascii="宋体" w:hAnsi="宋体" w:hint="eastAsia"/>
          <w:bCs/>
          <w:sz w:val="24"/>
        </w:rPr>
        <w:t>检测服务费按检测项目单价计算，</w:t>
      </w:r>
      <w:r>
        <w:rPr>
          <w:rFonts w:ascii="宋体" w:hAnsi="宋体" w:hint="eastAsia"/>
          <w:bCs/>
          <w:color w:val="000000"/>
          <w:sz w:val="24"/>
        </w:rPr>
        <w:t>最终按实际发生检测量结算，年结算金额不超过</w:t>
      </w:r>
      <w:r>
        <w:rPr>
          <w:rFonts w:ascii="宋体" w:hAnsi="宋体"/>
          <w:bCs/>
          <w:color w:val="000000"/>
          <w:sz w:val="24"/>
        </w:rPr>
        <w:t>95</w:t>
      </w:r>
      <w:r>
        <w:rPr>
          <w:rFonts w:ascii="宋体" w:hAnsi="宋体" w:hint="eastAsia"/>
          <w:bCs/>
          <w:color w:val="000000"/>
          <w:sz w:val="24"/>
        </w:rPr>
        <w:t>万元。</w:t>
      </w:r>
    </w:p>
    <w:p w:rsidR="00D66E58" w:rsidRDefault="00D66E58" w:rsidP="00D66E58">
      <w:pPr>
        <w:pStyle w:val="12"/>
        <w:spacing w:line="360" w:lineRule="auto"/>
        <w:ind w:firstLine="480"/>
        <w:rPr>
          <w:rFonts w:ascii="宋体" w:hAnsi="宋体" w:hint="eastAsia"/>
          <w:bCs/>
          <w:color w:val="000000"/>
          <w:sz w:val="24"/>
        </w:rPr>
      </w:pPr>
    </w:p>
    <w:p w:rsidR="00D66E58" w:rsidRDefault="00D66E58" w:rsidP="00D66E58">
      <w:pPr>
        <w:widowControl/>
        <w:spacing w:line="360" w:lineRule="auto"/>
        <w:jc w:val="left"/>
        <w:rPr>
          <w:rFonts w:ascii="宋体" w:hAnsi="宋体"/>
          <w:b/>
          <w:sz w:val="24"/>
        </w:rPr>
      </w:pPr>
      <w:r>
        <w:rPr>
          <w:rFonts w:ascii="宋体" w:hAnsi="宋体" w:hint="eastAsia"/>
          <w:b/>
          <w:sz w:val="24"/>
        </w:rPr>
        <w:t>三、检测服务要求</w:t>
      </w:r>
    </w:p>
    <w:p w:rsidR="00D66E58" w:rsidRDefault="00D66E58" w:rsidP="00D66E58">
      <w:pPr>
        <w:pStyle w:val="a6"/>
        <w:numPr>
          <w:ilvl w:val="0"/>
          <w:numId w:val="2"/>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根据协议转运和核收样本（物流配送）</w:t>
      </w:r>
    </w:p>
    <w:p w:rsidR="00D66E58" w:rsidRDefault="00D66E58" w:rsidP="00D66E58">
      <w:pPr>
        <w:pStyle w:val="a6"/>
        <w:numPr>
          <w:ilvl w:val="0"/>
          <w:numId w:val="2"/>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投标人负责提供样品采集工具包，并负责提供样品保存的规范标准。</w:t>
      </w:r>
    </w:p>
    <w:p w:rsidR="00D66E58" w:rsidRDefault="00D66E58" w:rsidP="00D66E58">
      <w:pPr>
        <w:pStyle w:val="a6"/>
        <w:numPr>
          <w:ilvl w:val="0"/>
          <w:numId w:val="2"/>
        </w:numPr>
        <w:adjustRightInd w:val="0"/>
        <w:snapToGrid w:val="0"/>
        <w:spacing w:line="360" w:lineRule="auto"/>
        <w:ind w:firstLineChars="0" w:firstLine="480"/>
        <w:rPr>
          <w:rFonts w:ascii="宋体" w:hAnsi="宋体"/>
          <w:bCs/>
          <w:sz w:val="24"/>
          <w:szCs w:val="24"/>
        </w:rPr>
      </w:pPr>
      <w:r>
        <w:rPr>
          <w:rFonts w:ascii="宋体" w:hAnsi="宋体" w:hint="eastAsia"/>
          <w:bCs/>
          <w:sz w:val="24"/>
          <w:szCs w:val="24"/>
        </w:rPr>
        <w:t>投标人负责取送待检标本和检测报告，交接标本和报告时需要双方共同签字确认项目和数量。标本由投标人取走后，由投标人负责保管并实验，若有由于投标人将样品丢失的情况，投标人承担相应责任。</w:t>
      </w:r>
    </w:p>
    <w:p w:rsidR="00D66E58" w:rsidRDefault="00D66E58" w:rsidP="00D66E58">
      <w:pPr>
        <w:pStyle w:val="a6"/>
        <w:adjustRightInd w:val="0"/>
        <w:snapToGrid w:val="0"/>
        <w:spacing w:line="360" w:lineRule="auto"/>
        <w:ind w:firstLine="480"/>
        <w:rPr>
          <w:rFonts w:ascii="宋体" w:hAnsi="宋体" w:hint="eastAsia"/>
          <w:bCs/>
          <w:sz w:val="24"/>
          <w:szCs w:val="24"/>
        </w:rPr>
      </w:pPr>
      <w:r>
        <w:rPr>
          <w:rFonts w:ascii="宋体" w:hAnsi="宋体" w:hint="eastAsia"/>
          <w:bCs/>
          <w:sz w:val="24"/>
          <w:szCs w:val="24"/>
        </w:rPr>
        <w:t>4</w:t>
      </w:r>
      <w:r>
        <w:rPr>
          <w:rFonts w:ascii="宋体" w:hAnsi="宋体" w:hint="eastAsia"/>
          <w:bCs/>
          <w:sz w:val="24"/>
          <w:szCs w:val="24"/>
        </w:rPr>
        <w:t>、投标人应依照标准操作流程完成检测，检测团队人员应至少包括项目负</w:t>
      </w:r>
      <w:r w:rsidRPr="006A3B77">
        <w:rPr>
          <w:rFonts w:ascii="宋体" w:hAnsi="宋体" w:hint="eastAsia"/>
          <w:bCs/>
          <w:sz w:val="24"/>
          <w:szCs w:val="24"/>
        </w:rPr>
        <w:t>责人、生物信息分析人员、检验人员和遗传咨询师，其中项目负责人应具备检验专业副高级以上职称，检验人员具备医学检验资质相关证书及临床基因扩增检验</w:t>
      </w:r>
      <w:r>
        <w:rPr>
          <w:rFonts w:ascii="宋体" w:hAnsi="宋体" w:hint="eastAsia"/>
          <w:bCs/>
          <w:sz w:val="24"/>
          <w:szCs w:val="24"/>
        </w:rPr>
        <w:t>实验室技术证书，报告解读人员具备遗传咨询的能力。按时出具检测报告，并对检测结果的真实性和可靠性负责。各套餐完成检测并出具报告时间为自收到合格样本之日起不超过</w:t>
      </w:r>
      <w:r>
        <w:rPr>
          <w:rFonts w:ascii="宋体" w:hAnsi="宋体" w:hint="eastAsia"/>
          <w:bCs/>
          <w:sz w:val="24"/>
          <w:szCs w:val="24"/>
        </w:rPr>
        <w:t>8</w:t>
      </w:r>
      <w:r>
        <w:rPr>
          <w:rFonts w:ascii="宋体" w:hAnsi="宋体" w:hint="eastAsia"/>
          <w:bCs/>
          <w:sz w:val="24"/>
          <w:szCs w:val="24"/>
        </w:rPr>
        <w:t>个工作日。</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5</w:t>
      </w:r>
      <w:r>
        <w:rPr>
          <w:rFonts w:ascii="宋体" w:hAnsi="宋体" w:hint="eastAsia"/>
          <w:bCs/>
          <w:sz w:val="24"/>
          <w:szCs w:val="24"/>
        </w:rPr>
        <w:t>、投标人负责提供</w:t>
      </w:r>
      <w:r>
        <w:rPr>
          <w:rFonts w:ascii="宋体" w:hAnsi="宋体" w:hint="eastAsia"/>
          <w:bCs/>
          <w:sz w:val="24"/>
          <w:szCs w:val="24"/>
          <w:lang w:eastAsia="zh-Hans"/>
        </w:rPr>
        <w:t>检测标准操作</w:t>
      </w:r>
      <w:r>
        <w:rPr>
          <w:rFonts w:ascii="宋体" w:hAnsi="宋体" w:hint="eastAsia"/>
          <w:bCs/>
          <w:sz w:val="24"/>
          <w:szCs w:val="24"/>
        </w:rPr>
        <w:t>sop</w:t>
      </w:r>
      <w:r>
        <w:rPr>
          <w:rFonts w:ascii="宋体" w:hAnsi="宋体" w:hint="eastAsia"/>
          <w:bCs/>
          <w:sz w:val="24"/>
          <w:szCs w:val="24"/>
        </w:rPr>
        <w:t>文件和室间质评合格证书。</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6</w:t>
      </w:r>
      <w:r>
        <w:rPr>
          <w:rFonts w:ascii="宋体" w:hAnsi="宋体" w:hint="eastAsia"/>
          <w:bCs/>
          <w:sz w:val="24"/>
          <w:szCs w:val="24"/>
        </w:rPr>
        <w:t>、数据平台：具有自主研发的数据分析平台，可对数据进行本地化分析。</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7</w:t>
      </w:r>
      <w:r>
        <w:rPr>
          <w:rFonts w:ascii="宋体" w:hAnsi="宋体" w:hint="eastAsia"/>
          <w:bCs/>
          <w:sz w:val="24"/>
          <w:szCs w:val="24"/>
        </w:rPr>
        <w:t>、投标人有义务对委托方提供的送检样本及检测结果中涉及受检者个人隐私的信息进行保密，不得擅自透露给任何第三方。</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8</w:t>
      </w:r>
      <w:r>
        <w:rPr>
          <w:rFonts w:ascii="宋体" w:hAnsi="宋体" w:hint="eastAsia"/>
          <w:bCs/>
          <w:sz w:val="24"/>
          <w:szCs w:val="24"/>
        </w:rPr>
        <w:t>、投标人需将检测完的标本按照规范标准保存至少一个月，</w:t>
      </w:r>
      <w:r>
        <w:rPr>
          <w:rFonts w:ascii="宋体" w:hAnsi="宋体" w:hint="eastAsia"/>
          <w:sz w:val="24"/>
        </w:rPr>
        <w:t>之后按照医疗垃圾标准处理，</w:t>
      </w:r>
      <w:r>
        <w:rPr>
          <w:rFonts w:ascii="宋体" w:hAnsi="宋体" w:hint="eastAsia"/>
          <w:bCs/>
          <w:sz w:val="24"/>
          <w:szCs w:val="24"/>
        </w:rPr>
        <w:t>且标本未经采购人允许的情况下，不能作为他用。</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9</w:t>
      </w:r>
      <w:r>
        <w:rPr>
          <w:rFonts w:ascii="宋体" w:hAnsi="宋体" w:hint="eastAsia"/>
          <w:bCs/>
          <w:sz w:val="24"/>
          <w:szCs w:val="24"/>
        </w:rPr>
        <w:t>、在协议期间，由于检测服务技术更新、国家政策、法律法规等方面发生变化，投标人应提前</w:t>
      </w:r>
      <w:r>
        <w:rPr>
          <w:rFonts w:ascii="宋体" w:hAnsi="宋体" w:hint="eastAsia"/>
          <w:bCs/>
          <w:sz w:val="24"/>
          <w:szCs w:val="24"/>
        </w:rPr>
        <w:t>1</w:t>
      </w:r>
      <w:r>
        <w:rPr>
          <w:rFonts w:ascii="宋体" w:hAnsi="宋体" w:hint="eastAsia"/>
          <w:bCs/>
          <w:sz w:val="24"/>
          <w:szCs w:val="24"/>
        </w:rPr>
        <w:t>个月通知采购人并与采购人协商解决由于上述变化而产生</w:t>
      </w:r>
      <w:r>
        <w:rPr>
          <w:rFonts w:ascii="宋体" w:hAnsi="宋体" w:hint="eastAsia"/>
          <w:bCs/>
          <w:sz w:val="24"/>
          <w:szCs w:val="24"/>
        </w:rPr>
        <w:lastRenderedPageBreak/>
        <w:t>的问题。</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cs="宋体" w:hint="eastAsia"/>
          <w:sz w:val="24"/>
          <w:szCs w:val="24"/>
        </w:rPr>
        <w:t>10</w:t>
      </w:r>
      <w:r>
        <w:rPr>
          <w:rFonts w:ascii="宋体" w:hAnsi="宋体" w:cs="宋体" w:hint="eastAsia"/>
          <w:sz w:val="24"/>
          <w:szCs w:val="24"/>
        </w:rPr>
        <w:t>、检测数据的所有权归采购人所有，未经采购人允许，投标人无权使用相关检测数据。</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11</w:t>
      </w:r>
      <w:r>
        <w:rPr>
          <w:rFonts w:ascii="宋体" w:hAnsi="宋体" w:hint="eastAsia"/>
          <w:bCs/>
          <w:sz w:val="24"/>
          <w:szCs w:val="24"/>
        </w:rPr>
        <w:t>、投标人对因履行本协议而知晓的采购人的商业秘密负有保密的义务，未经采购人同意，不得擅自透露给任何第三方。</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12</w:t>
      </w:r>
      <w:r>
        <w:rPr>
          <w:rFonts w:ascii="宋体" w:hAnsi="宋体" w:hint="eastAsia"/>
          <w:bCs/>
          <w:sz w:val="24"/>
          <w:szCs w:val="24"/>
        </w:rPr>
        <w:t>、投标人负责检测报告的准确解读和解释。</w:t>
      </w:r>
    </w:p>
    <w:p w:rsidR="00D66E58" w:rsidRDefault="00D66E58" w:rsidP="00D66E58">
      <w:pPr>
        <w:pStyle w:val="a6"/>
        <w:adjustRightInd w:val="0"/>
        <w:snapToGrid w:val="0"/>
        <w:spacing w:line="360" w:lineRule="auto"/>
        <w:ind w:firstLine="480"/>
        <w:rPr>
          <w:rFonts w:ascii="宋体" w:hAnsi="宋体"/>
          <w:b/>
          <w:sz w:val="24"/>
          <w:szCs w:val="24"/>
        </w:rPr>
      </w:pPr>
      <w:r>
        <w:rPr>
          <w:rFonts w:ascii="宋体" w:hAnsi="宋体" w:hint="eastAsia"/>
          <w:bCs/>
          <w:sz w:val="24"/>
          <w:szCs w:val="24"/>
        </w:rPr>
        <w:t>13</w:t>
      </w:r>
      <w:r>
        <w:rPr>
          <w:rFonts w:ascii="宋体" w:hAnsi="宋体" w:hint="eastAsia"/>
          <w:bCs/>
          <w:sz w:val="24"/>
          <w:szCs w:val="24"/>
        </w:rPr>
        <w:t>、投标人对检测报告的准确性负责，由检测结果造成的纠纷，由投标人承担全部责任。</w:t>
      </w:r>
    </w:p>
    <w:p w:rsidR="00D66E58" w:rsidRDefault="00D66E58" w:rsidP="00D66E58">
      <w:pPr>
        <w:pStyle w:val="a6"/>
        <w:adjustRightInd w:val="0"/>
        <w:snapToGrid w:val="0"/>
        <w:spacing w:line="360" w:lineRule="auto"/>
        <w:ind w:firstLine="480"/>
        <w:rPr>
          <w:rFonts w:ascii="宋体" w:hAnsi="宋体"/>
          <w:bCs/>
          <w:sz w:val="24"/>
          <w:szCs w:val="24"/>
        </w:rPr>
      </w:pPr>
      <w:r>
        <w:rPr>
          <w:rFonts w:ascii="宋体" w:hAnsi="宋体" w:hint="eastAsia"/>
          <w:bCs/>
          <w:sz w:val="24"/>
          <w:szCs w:val="24"/>
        </w:rPr>
        <w:t>14</w:t>
      </w:r>
      <w:r>
        <w:rPr>
          <w:rFonts w:ascii="宋体" w:hAnsi="宋体" w:hint="eastAsia"/>
          <w:bCs/>
          <w:sz w:val="24"/>
          <w:szCs w:val="24"/>
        </w:rPr>
        <w:t>、投标人要协助采购人做好产品宣传和推广工作，为采购人提供产品知识等方面的培训。</w:t>
      </w:r>
    </w:p>
    <w:p w:rsidR="00D66E58" w:rsidRDefault="00D66E58" w:rsidP="00D66E58">
      <w:pPr>
        <w:pStyle w:val="a6"/>
        <w:adjustRightInd w:val="0"/>
        <w:snapToGrid w:val="0"/>
        <w:spacing w:line="360" w:lineRule="auto"/>
        <w:ind w:firstLine="480"/>
        <w:rPr>
          <w:rFonts w:ascii="宋体" w:hAnsi="宋体" w:cs="宋体"/>
          <w:sz w:val="24"/>
          <w:szCs w:val="24"/>
        </w:rPr>
      </w:pPr>
      <w:r>
        <w:rPr>
          <w:rFonts w:ascii="宋体" w:hAnsi="宋体" w:hint="eastAsia"/>
          <w:bCs/>
          <w:sz w:val="24"/>
          <w:szCs w:val="24"/>
        </w:rPr>
        <w:t>15</w:t>
      </w:r>
      <w:r>
        <w:rPr>
          <w:rFonts w:ascii="宋体" w:hAnsi="宋体" w:hint="eastAsia"/>
          <w:bCs/>
          <w:sz w:val="24"/>
          <w:szCs w:val="24"/>
        </w:rPr>
        <w:t>、拟派本项目人员团队需要设专门的项目负责人对接，保证</w:t>
      </w:r>
      <w:r>
        <w:rPr>
          <w:rFonts w:ascii="宋体" w:hAnsi="宋体" w:hint="eastAsia"/>
          <w:bCs/>
          <w:sz w:val="24"/>
          <w:szCs w:val="24"/>
        </w:rPr>
        <w:t>7</w:t>
      </w:r>
      <w:r>
        <w:rPr>
          <w:rFonts w:ascii="宋体" w:hAnsi="宋体" w:hint="eastAsia"/>
          <w:bCs/>
          <w:sz w:val="24"/>
          <w:szCs w:val="24"/>
        </w:rPr>
        <w:t>×</w:t>
      </w:r>
      <w:r>
        <w:rPr>
          <w:rFonts w:ascii="宋体" w:hAnsi="宋体" w:hint="eastAsia"/>
          <w:bCs/>
          <w:sz w:val="24"/>
          <w:szCs w:val="24"/>
        </w:rPr>
        <w:t>8</w:t>
      </w:r>
      <w:r>
        <w:rPr>
          <w:rFonts w:ascii="宋体" w:hAnsi="宋体" w:hint="eastAsia"/>
          <w:bCs/>
          <w:sz w:val="24"/>
          <w:szCs w:val="24"/>
        </w:rPr>
        <w:t>小时在线及时处理问题。</w:t>
      </w:r>
    </w:p>
    <w:p w:rsidR="00D66E58" w:rsidRDefault="00D66E58" w:rsidP="00D66E58">
      <w:pPr>
        <w:pStyle w:val="a6"/>
        <w:adjustRightInd w:val="0"/>
        <w:snapToGrid w:val="0"/>
        <w:spacing w:line="360" w:lineRule="auto"/>
        <w:ind w:firstLine="480"/>
        <w:rPr>
          <w:rFonts w:ascii="宋体" w:hAnsi="宋体" w:hint="eastAsia"/>
          <w:bCs/>
          <w:sz w:val="24"/>
          <w:szCs w:val="24"/>
        </w:rPr>
      </w:pPr>
      <w:r>
        <w:rPr>
          <w:rFonts w:ascii="宋体" w:hAnsi="宋体" w:cs="宋体" w:hint="eastAsia"/>
          <w:sz w:val="24"/>
          <w:szCs w:val="24"/>
        </w:rPr>
        <w:t>1</w:t>
      </w:r>
      <w:r>
        <w:rPr>
          <w:rFonts w:ascii="宋体" w:hAnsi="宋体" w:cs="宋体"/>
          <w:sz w:val="24"/>
          <w:szCs w:val="24"/>
        </w:rPr>
        <w:t>6</w:t>
      </w:r>
      <w:r>
        <w:rPr>
          <w:rFonts w:ascii="宋体" w:hAnsi="宋体" w:cs="宋体" w:hint="eastAsia"/>
          <w:sz w:val="24"/>
          <w:szCs w:val="24"/>
        </w:rPr>
        <w:t>、应为采购人提供针对本项目的运输方案。</w:t>
      </w:r>
    </w:p>
    <w:p w:rsidR="00D66E58" w:rsidRDefault="00D66E58" w:rsidP="00D66E58">
      <w:pPr>
        <w:pStyle w:val="a6"/>
        <w:adjustRightInd w:val="0"/>
        <w:snapToGrid w:val="0"/>
        <w:spacing w:line="360" w:lineRule="auto"/>
        <w:ind w:firstLineChars="0" w:firstLine="0"/>
        <w:rPr>
          <w:rFonts w:ascii="宋体" w:hAnsi="宋体"/>
          <w:bCs/>
          <w:sz w:val="24"/>
          <w:szCs w:val="24"/>
        </w:rPr>
      </w:pPr>
    </w:p>
    <w:p w:rsidR="00D66E58" w:rsidRDefault="00D66E58" w:rsidP="00D66E58">
      <w:pPr>
        <w:widowControl/>
        <w:spacing w:line="360" w:lineRule="auto"/>
        <w:jc w:val="left"/>
        <w:rPr>
          <w:rFonts w:ascii="宋体" w:hAnsi="宋体"/>
          <w:b/>
          <w:sz w:val="24"/>
        </w:rPr>
      </w:pPr>
      <w:r>
        <w:rPr>
          <w:rFonts w:ascii="宋体" w:hAnsi="宋体" w:hint="eastAsia"/>
          <w:b/>
          <w:sz w:val="24"/>
        </w:rPr>
        <w:t>四、服务期限</w:t>
      </w:r>
    </w:p>
    <w:p w:rsidR="00D66E58" w:rsidRDefault="00D66E58" w:rsidP="00D66E58">
      <w:pPr>
        <w:widowControl/>
        <w:spacing w:line="360" w:lineRule="auto"/>
        <w:ind w:firstLineChars="200" w:firstLine="480"/>
        <w:jc w:val="left"/>
        <w:rPr>
          <w:rFonts w:ascii="宋体" w:hAnsi="宋体"/>
          <w:sz w:val="24"/>
        </w:rPr>
      </w:pPr>
      <w:r>
        <w:rPr>
          <w:rFonts w:ascii="宋体" w:hAnsi="宋体" w:hint="eastAsia"/>
          <w:sz w:val="24"/>
        </w:rPr>
        <w:t>该</w:t>
      </w:r>
      <w:r>
        <w:rPr>
          <w:rFonts w:ascii="宋体" w:hAnsi="宋体"/>
          <w:sz w:val="24"/>
        </w:rPr>
        <w:t>项目服务期为自合同签订之日起</w:t>
      </w:r>
      <w:r>
        <w:rPr>
          <w:rFonts w:ascii="宋体" w:hAnsi="宋体" w:hint="eastAsia"/>
          <w:sz w:val="24"/>
        </w:rPr>
        <w:t>一</w:t>
      </w:r>
      <w:r>
        <w:rPr>
          <w:rFonts w:ascii="宋体" w:hAnsi="宋体"/>
          <w:sz w:val="24"/>
        </w:rPr>
        <w:t>年。</w:t>
      </w:r>
    </w:p>
    <w:p w:rsidR="00D66E58" w:rsidRDefault="00D66E58" w:rsidP="00D66E58">
      <w:pPr>
        <w:widowControl/>
        <w:spacing w:line="360" w:lineRule="auto"/>
        <w:jc w:val="left"/>
        <w:rPr>
          <w:rFonts w:ascii="宋体" w:hAnsi="宋体"/>
          <w:b/>
          <w:sz w:val="24"/>
        </w:rPr>
      </w:pPr>
    </w:p>
    <w:p w:rsidR="00D66E58" w:rsidRDefault="00D66E58" w:rsidP="00D66E58">
      <w:pPr>
        <w:widowControl/>
        <w:spacing w:line="360" w:lineRule="auto"/>
        <w:jc w:val="left"/>
        <w:rPr>
          <w:rFonts w:ascii="宋体" w:hAnsi="宋体"/>
          <w:b/>
          <w:sz w:val="24"/>
        </w:rPr>
      </w:pPr>
      <w:r>
        <w:rPr>
          <w:rFonts w:ascii="宋体" w:hAnsi="宋体" w:hint="eastAsia"/>
          <w:b/>
          <w:sz w:val="24"/>
        </w:rPr>
        <w:t>五、付款方式</w:t>
      </w:r>
    </w:p>
    <w:p w:rsidR="00D66E58" w:rsidRDefault="00D66E58" w:rsidP="00D66E58">
      <w:pPr>
        <w:pStyle w:val="a6"/>
        <w:adjustRightInd w:val="0"/>
        <w:snapToGrid w:val="0"/>
        <w:spacing w:line="360" w:lineRule="auto"/>
        <w:ind w:firstLineChars="0" w:firstLine="492"/>
        <w:rPr>
          <w:rFonts w:ascii="宋体" w:hAnsi="宋体"/>
          <w:bCs/>
          <w:sz w:val="24"/>
          <w:szCs w:val="24"/>
        </w:rPr>
      </w:pPr>
      <w:r>
        <w:rPr>
          <w:rFonts w:ascii="宋体" w:hAnsi="宋体" w:hint="eastAsia"/>
          <w:sz w:val="24"/>
        </w:rPr>
        <w:t>检测服务费</w:t>
      </w:r>
      <w:r>
        <w:rPr>
          <w:rFonts w:ascii="宋体" w:hAnsi="宋体" w:hint="eastAsia"/>
          <w:sz w:val="24"/>
          <w:szCs w:val="24"/>
        </w:rPr>
        <w:t>每月结算一次。送检统计以</w:t>
      </w:r>
      <w:r>
        <w:rPr>
          <w:rFonts w:ascii="宋体" w:hAnsi="宋体" w:hint="eastAsia"/>
          <w:bCs/>
          <w:sz w:val="24"/>
          <w:szCs w:val="24"/>
        </w:rPr>
        <w:t>检测中心平台上的数据为准。投标人（第三方检测机构）出具相关送检情况说明和送检明细表，</w:t>
      </w:r>
      <w:r>
        <w:rPr>
          <w:rFonts w:ascii="宋体" w:hAnsi="宋体" w:hint="eastAsia"/>
          <w:color w:val="000000"/>
          <w:sz w:val="24"/>
          <w:szCs w:val="24"/>
        </w:rPr>
        <w:t>每月</w:t>
      </w:r>
      <w:r>
        <w:rPr>
          <w:rFonts w:ascii="宋体" w:hAnsi="宋体" w:hint="eastAsia"/>
          <w:color w:val="000000"/>
          <w:sz w:val="24"/>
          <w:szCs w:val="24"/>
        </w:rPr>
        <w:t>10</w:t>
      </w:r>
      <w:r>
        <w:rPr>
          <w:rFonts w:ascii="宋体" w:hAnsi="宋体" w:hint="eastAsia"/>
          <w:color w:val="000000"/>
          <w:sz w:val="24"/>
          <w:szCs w:val="24"/>
        </w:rPr>
        <w:t>日前将上月检测费用明细账单发送给采购人进行对账，</w:t>
      </w:r>
      <w:r>
        <w:rPr>
          <w:rFonts w:ascii="宋体" w:hAnsi="宋体" w:hint="eastAsia"/>
          <w:bCs/>
          <w:sz w:val="24"/>
          <w:szCs w:val="24"/>
        </w:rPr>
        <w:t>经双方审核确认无误后投标人</w:t>
      </w:r>
      <w:r>
        <w:rPr>
          <w:rFonts w:ascii="宋体" w:hAnsi="宋体" w:hint="eastAsia"/>
          <w:color w:val="000000"/>
          <w:sz w:val="24"/>
          <w:szCs w:val="24"/>
        </w:rPr>
        <w:t>向采购人开具检测服务费发票，采购人在收到检测服务费发票后</w:t>
      </w:r>
      <w:r>
        <w:rPr>
          <w:rFonts w:ascii="宋体" w:hAnsi="宋体" w:hint="eastAsia"/>
          <w:color w:val="000000"/>
          <w:sz w:val="24"/>
          <w:szCs w:val="24"/>
        </w:rPr>
        <w:t>15</w:t>
      </w:r>
      <w:r>
        <w:rPr>
          <w:rFonts w:ascii="宋体" w:hAnsi="宋体" w:hint="eastAsia"/>
          <w:color w:val="000000"/>
          <w:sz w:val="24"/>
          <w:szCs w:val="24"/>
        </w:rPr>
        <w:t>个工作日内将款项支付给投标人。</w:t>
      </w:r>
    </w:p>
    <w:p w:rsidR="00D66E58" w:rsidRDefault="00D66E58" w:rsidP="00D66E58">
      <w:pPr>
        <w:spacing w:line="360" w:lineRule="auto"/>
        <w:rPr>
          <w:rFonts w:ascii="宋体" w:hAnsi="宋体"/>
          <w:b/>
          <w:sz w:val="24"/>
        </w:rPr>
      </w:pPr>
    </w:p>
    <w:p w:rsidR="00D66E58" w:rsidRDefault="00D66E58" w:rsidP="00D66E58">
      <w:pPr>
        <w:spacing w:line="360" w:lineRule="auto"/>
        <w:rPr>
          <w:rFonts w:ascii="宋体" w:hAnsi="宋体"/>
          <w:b/>
          <w:sz w:val="24"/>
        </w:rPr>
      </w:pPr>
      <w:r>
        <w:rPr>
          <w:rFonts w:ascii="宋体" w:hAnsi="宋体" w:hint="eastAsia"/>
          <w:b/>
          <w:sz w:val="24"/>
        </w:rPr>
        <w:t>六、考核标准</w:t>
      </w:r>
    </w:p>
    <w:p w:rsidR="00D66E58" w:rsidRDefault="00D66E58" w:rsidP="00D66E58">
      <w:pPr>
        <w:spacing w:line="360" w:lineRule="auto"/>
        <w:ind w:firstLineChars="200" w:firstLine="480"/>
        <w:rPr>
          <w:rFonts w:ascii="宋体" w:hAnsi="宋体" w:hint="eastAsia"/>
          <w:bCs/>
          <w:sz w:val="24"/>
        </w:rPr>
      </w:pPr>
      <w:r>
        <w:rPr>
          <w:rFonts w:ascii="宋体" w:hAnsi="宋体" w:hint="eastAsia"/>
          <w:bCs/>
          <w:sz w:val="24"/>
        </w:rPr>
        <w:t>采购人将在年度服务期满前两个月内按照招标文件要求和附件1的内容对供应商进行服务质量评价。评价“合格”即为验收合格。</w:t>
      </w:r>
    </w:p>
    <w:p w:rsidR="00D66E58" w:rsidRDefault="00D66E58" w:rsidP="00D66E58">
      <w:pPr>
        <w:tabs>
          <w:tab w:val="left" w:pos="0"/>
        </w:tabs>
        <w:adjustRightInd w:val="0"/>
        <w:spacing w:line="360" w:lineRule="auto"/>
        <w:ind w:firstLineChars="200" w:firstLine="420"/>
        <w:textAlignment w:val="baseline"/>
        <w:rPr>
          <w:rFonts w:ascii="宋体" w:hAnsi="宋体"/>
          <w:szCs w:val="21"/>
        </w:rPr>
      </w:pPr>
      <w:r>
        <w:rPr>
          <w:rFonts w:ascii="宋体" w:hAnsi="宋体"/>
          <w:szCs w:val="21"/>
        </w:rPr>
        <w:br w:type="page"/>
      </w:r>
      <w:r>
        <w:rPr>
          <w:rFonts w:ascii="宋体" w:hAnsi="宋体" w:hint="eastAsia"/>
          <w:szCs w:val="21"/>
        </w:rPr>
        <w:lastRenderedPageBreak/>
        <w:t>附件1：</w:t>
      </w:r>
    </w:p>
    <w:tbl>
      <w:tblPr>
        <w:tblW w:w="8700" w:type="dxa"/>
        <w:tblInd w:w="93" w:type="dxa"/>
        <w:tblLayout w:type="fixed"/>
        <w:tblLook w:val="0000" w:firstRow="0" w:lastRow="0" w:firstColumn="0" w:lastColumn="0" w:noHBand="0" w:noVBand="0"/>
      </w:tblPr>
      <w:tblGrid>
        <w:gridCol w:w="811"/>
        <w:gridCol w:w="585"/>
        <w:gridCol w:w="5537"/>
        <w:gridCol w:w="588"/>
        <w:gridCol w:w="588"/>
        <w:gridCol w:w="591"/>
      </w:tblGrid>
      <w:tr w:rsidR="00D66E58" w:rsidTr="00D66272">
        <w:trPr>
          <w:trHeight w:val="616"/>
        </w:trPr>
        <w:tc>
          <w:tcPr>
            <w:tcW w:w="8700" w:type="dxa"/>
            <w:gridSpan w:val="6"/>
            <w:tcBorders>
              <w:top w:val="nil"/>
              <w:left w:val="nil"/>
              <w:bottom w:val="nil"/>
              <w:right w:val="nil"/>
            </w:tcBorders>
            <w:shd w:val="clear" w:color="auto" w:fill="FFFFFF"/>
            <w:noWrap/>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32"/>
                <w:szCs w:val="32"/>
                <w:lang w:bidi="ar"/>
              </w:rPr>
              <w:t>外送检测机构年度评估表</w:t>
            </w:r>
          </w:p>
        </w:tc>
      </w:tr>
      <w:tr w:rsidR="00D66E58" w:rsidTr="00D66272">
        <w:trPr>
          <w:trHeight w:val="641"/>
        </w:trPr>
        <w:tc>
          <w:tcPr>
            <w:tcW w:w="693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外送检测机构名称：</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年  月  日</w:t>
            </w:r>
          </w:p>
        </w:tc>
      </w:tr>
      <w:tr w:rsidR="00D66E58" w:rsidTr="00D66272">
        <w:trPr>
          <w:trHeight w:val="64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w:t>
            </w:r>
            <w:r>
              <w:rPr>
                <w:rFonts w:ascii="DengXian" w:eastAsia="DengXian" w:hAnsi="DengXian" w:cs="微软雅黑" w:hint="eastAsia"/>
                <w:b/>
                <w:bCs/>
                <w:color w:val="000000"/>
                <w:kern w:val="0"/>
                <w:sz w:val="24"/>
                <w:lang w:bidi="ar"/>
              </w:rPr>
              <w:br/>
              <w:t>项目</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序号</w:t>
            </w:r>
          </w:p>
        </w:tc>
        <w:tc>
          <w:tcPr>
            <w:tcW w:w="553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评估内容及细则</w:t>
            </w:r>
          </w:p>
        </w:tc>
        <w:tc>
          <w:tcPr>
            <w:tcW w:w="176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评  价    </w:t>
            </w:r>
          </w:p>
        </w:tc>
      </w:tr>
      <w:tr w:rsidR="00D66E58" w:rsidTr="00D66272">
        <w:trPr>
          <w:trHeight w:val="64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53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优</w:t>
            </w: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良</w:t>
            </w:r>
          </w:p>
        </w:tc>
        <w:tc>
          <w:tcPr>
            <w:tcW w:w="5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差</w:t>
            </w:r>
          </w:p>
        </w:tc>
      </w:tr>
      <w:tr w:rsidR="00D66E58" w:rsidTr="00D66272">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(一)综合能力</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检测机构各项资质在有效期内</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highlight w:val="yellow"/>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应急反应预案及应对实施能力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highlight w:val="yellow"/>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hAnsi="DengXian" w:cs="微软雅黑"/>
                <w:color w:val="000000"/>
                <w:sz w:val="24"/>
              </w:rPr>
            </w:pPr>
            <w:r>
              <w:rPr>
                <w:rFonts w:ascii="DengXian" w:eastAsia="DengXian" w:hAnsi="DengXian" w:cs="微软雅黑" w:hint="eastAsia"/>
                <w:color w:val="000000"/>
                <w:sz w:val="24"/>
              </w:rPr>
              <w:t>遵守医院规章制度及防疫要求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highlight w:val="yellow"/>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管理人员资质与合作</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(二)</w:t>
            </w:r>
            <w:r>
              <w:rPr>
                <w:rFonts w:ascii="DengXian" w:eastAsia="DengXian" w:hAnsi="DengXian" w:cs="微软雅黑"/>
                <w:b/>
                <w:bCs/>
                <w:color w:val="000000"/>
                <w:kern w:val="0"/>
                <w:sz w:val="24"/>
                <w:lang w:bidi="ar"/>
              </w:rPr>
              <w:t>服务实施与质量控制</w:t>
            </w:r>
            <w:r>
              <w:rPr>
                <w:rFonts w:ascii="DengXian" w:eastAsia="DengXian" w:hAnsi="DengXian" w:cs="微软雅黑" w:hint="eastAsia"/>
                <w:b/>
                <w:bCs/>
                <w:color w:val="000000"/>
                <w:kern w:val="0"/>
                <w:sz w:val="24"/>
                <w:lang w:bidi="ar"/>
              </w:rPr>
              <w:t xml:space="preserve">  </w:t>
            </w:r>
            <w:r>
              <w:rPr>
                <w:rFonts w:ascii="DengXian" w:eastAsia="DengXian" w:hAnsi="DengXian" w:cs="微软雅黑" w:hint="eastAsia"/>
                <w:b/>
                <w:bCs/>
                <w:color w:val="000000"/>
                <w:kern w:val="0"/>
                <w:sz w:val="24"/>
                <w:lang w:bidi="ar"/>
              </w:rPr>
              <w:br/>
              <w:t xml:space="preserve">  </w:t>
            </w:r>
            <w:r>
              <w:rPr>
                <w:rFonts w:ascii="DengXian" w:eastAsia="DengXian" w:hAnsi="DengXian" w:cs="微软雅黑" w:hint="eastAsia"/>
                <w:b/>
                <w:bCs/>
                <w:color w:val="000000"/>
                <w:kern w:val="0"/>
                <w:sz w:val="24"/>
                <w:lang w:bidi="ar"/>
              </w:rPr>
              <w:br/>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人员配备满足项目需求</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服务人员积极配合服从管理</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检测报告时限按照合同要求出具</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检测报告无差错</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检测结果异常反馈及时</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6</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血样交接准确无误差</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7</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血样转运及时没有延误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center"/>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t xml:space="preserve">(三)检测后服务   </w:t>
            </w:r>
            <w:r>
              <w:rPr>
                <w:rFonts w:ascii="DengXian" w:eastAsia="DengXian" w:hAnsi="DengXian" w:cs="微软雅黑" w:hint="eastAsia"/>
                <w:b/>
                <w:bCs/>
                <w:color w:val="000000"/>
                <w:kern w:val="0"/>
                <w:sz w:val="24"/>
                <w:lang w:bidi="ar"/>
              </w:rPr>
              <w:br/>
              <w:t xml:space="preserve"> </w:t>
            </w: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1</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样本保存合规</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2</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遵守保密原则，不泄露患者信息</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3</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存疑样本复检</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4</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保险赔付落实</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591"/>
        </w:trPr>
        <w:tc>
          <w:tcPr>
            <w:tcW w:w="81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jc w:val="center"/>
              <w:rPr>
                <w:rFonts w:ascii="DengXian" w:eastAsia="DengXian" w:hAnsi="DengXian" w:cs="微软雅黑"/>
                <w:b/>
                <w:bCs/>
                <w:color w:val="000000"/>
                <w:sz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center"/>
              <w:textAlignment w:val="center"/>
              <w:rPr>
                <w:rFonts w:ascii="DengXian" w:eastAsia="DengXian" w:hAnsi="DengXian" w:cs="微软雅黑"/>
                <w:color w:val="000000"/>
                <w:sz w:val="24"/>
              </w:rPr>
            </w:pPr>
            <w:r>
              <w:rPr>
                <w:rFonts w:ascii="DengXian" w:eastAsia="DengXian" w:hAnsi="DengXian" w:cs="微软雅黑" w:hint="eastAsia"/>
                <w:color w:val="000000"/>
                <w:kern w:val="0"/>
                <w:sz w:val="24"/>
                <w:lang w:bidi="ar"/>
              </w:rPr>
              <w:t>5</w:t>
            </w:r>
          </w:p>
        </w:tc>
        <w:tc>
          <w:tcPr>
            <w:tcW w:w="553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widowControl/>
              <w:jc w:val="left"/>
              <w:textAlignment w:val="center"/>
              <w:rPr>
                <w:rFonts w:ascii="DengXian" w:eastAsia="DengXian" w:hAnsi="DengXian" w:cs="微软雅黑"/>
                <w:color w:val="000000"/>
                <w:sz w:val="24"/>
              </w:rPr>
            </w:pPr>
            <w:r>
              <w:rPr>
                <w:rFonts w:ascii="DengXian" w:eastAsia="DengXian" w:hAnsi="DengXian" w:cs="微软雅黑" w:hint="eastAsia"/>
                <w:color w:val="000000"/>
                <w:sz w:val="24"/>
              </w:rPr>
              <w:t>拓展检测能力</w:t>
            </w: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c>
          <w:tcPr>
            <w:tcW w:w="5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66E58" w:rsidRDefault="00D66E58" w:rsidP="00D66272">
            <w:pPr>
              <w:jc w:val="center"/>
              <w:rPr>
                <w:rFonts w:ascii="DengXian" w:eastAsia="DengXian" w:hAnsi="DengXian" w:cs="微软雅黑"/>
                <w:b/>
                <w:bCs/>
                <w:color w:val="000000"/>
                <w:sz w:val="24"/>
              </w:rPr>
            </w:pPr>
          </w:p>
        </w:tc>
      </w:tr>
      <w:tr w:rsidR="00D66E58" w:rsidTr="00D66272">
        <w:trPr>
          <w:trHeight w:val="616"/>
        </w:trPr>
        <w:tc>
          <w:tcPr>
            <w:tcW w:w="87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66E58" w:rsidRDefault="00D66E58" w:rsidP="00D66272">
            <w:pPr>
              <w:widowControl/>
              <w:jc w:val="left"/>
              <w:textAlignment w:val="center"/>
              <w:rPr>
                <w:rFonts w:ascii="DengXian" w:eastAsia="DengXian" w:hAnsi="DengXian" w:cs="微软雅黑"/>
                <w:b/>
                <w:bCs/>
                <w:color w:val="000000"/>
                <w:sz w:val="24"/>
              </w:rPr>
            </w:pPr>
            <w:r>
              <w:rPr>
                <w:rFonts w:ascii="DengXian" w:eastAsia="DengXian" w:hAnsi="DengXian" w:cs="微软雅黑" w:hint="eastAsia"/>
                <w:b/>
                <w:bCs/>
                <w:color w:val="000000"/>
                <w:kern w:val="0"/>
                <w:sz w:val="24"/>
                <w:lang w:bidi="ar"/>
              </w:rPr>
              <w:lastRenderedPageBreak/>
              <w:t>考核结果三项及以上为“差”者不通过</w:t>
            </w:r>
          </w:p>
        </w:tc>
      </w:tr>
    </w:tbl>
    <w:p w:rsidR="00D66E58" w:rsidRDefault="00D66E58" w:rsidP="00D66E58">
      <w:pPr>
        <w:spacing w:line="360" w:lineRule="auto"/>
        <w:rPr>
          <w:rFonts w:ascii="宋体" w:hAnsi="宋体"/>
          <w:b/>
          <w:sz w:val="24"/>
        </w:rPr>
      </w:pPr>
    </w:p>
    <w:p w:rsidR="00000000" w:rsidRPr="00D66E58" w:rsidRDefault="00000000"/>
    <w:sectPr w:rsidR="00DA6D76" w:rsidRPr="00D66E58"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6850"/>
    <w:multiLevelType w:val="singleLevel"/>
    <w:tmpl w:val="14626850"/>
    <w:lvl w:ilvl="0">
      <w:start w:val="2"/>
      <w:numFmt w:val="decimal"/>
      <w:lvlText w:val="%1."/>
      <w:lvlJc w:val="left"/>
      <w:pPr>
        <w:tabs>
          <w:tab w:val="num" w:pos="312"/>
        </w:tabs>
      </w:pPr>
    </w:lvl>
  </w:abstractNum>
  <w:abstractNum w:abstractNumId="1" w15:restartNumberingAfterBreak="0">
    <w:nsid w:val="1F5DD2B0"/>
    <w:multiLevelType w:val="singleLevel"/>
    <w:tmpl w:val="1F5DD2B0"/>
    <w:lvl w:ilvl="0">
      <w:start w:val="1"/>
      <w:numFmt w:val="decimal"/>
      <w:suff w:val="nothing"/>
      <w:lvlText w:val="%1、"/>
      <w:lvlJc w:val="left"/>
      <w:rPr>
        <w:b w:val="0"/>
        <w:bCs/>
      </w:rPr>
    </w:lvl>
  </w:abstractNum>
  <w:num w:numId="1" w16cid:durableId="1446078797">
    <w:abstractNumId w:val="0"/>
  </w:num>
  <w:num w:numId="2" w16cid:durableId="205280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58"/>
    <w:rsid w:val="00171321"/>
    <w:rsid w:val="00817A75"/>
    <w:rsid w:val="00AE199F"/>
    <w:rsid w:val="00CA32DA"/>
    <w:rsid w:val="00D66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F7B185"/>
  <w15:chartTrackingRefBased/>
  <w15:docId w15:val="{C9FB557F-CB4E-5E47-84DB-8D35894C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E58"/>
    <w:pPr>
      <w:widowControl w:val="0"/>
      <w:jc w:val="both"/>
    </w:pPr>
    <w:rPr>
      <w:rFonts w:ascii="Times New Roman" w:eastAsia="宋体" w:hAnsi="Times New Roman" w:cs="Times New Roman"/>
    </w:rPr>
  </w:style>
  <w:style w:type="paragraph" w:styleId="1">
    <w:name w:val="heading 1"/>
    <w:basedOn w:val="a"/>
    <w:next w:val="a"/>
    <w:link w:val="10"/>
    <w:qFormat/>
    <w:rsid w:val="00D66E58"/>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66E58"/>
    <w:rPr>
      <w:rFonts w:ascii="宋体" w:eastAsia="宋体" w:hAnsi="Times New Roman" w:cs="Times New Roman"/>
      <w:b/>
      <w:kern w:val="44"/>
      <w:sz w:val="32"/>
      <w:szCs w:val="20"/>
    </w:rPr>
  </w:style>
  <w:style w:type="paragraph" w:styleId="a3">
    <w:name w:val="annotation text"/>
    <w:basedOn w:val="a"/>
    <w:link w:val="11"/>
    <w:uiPriority w:val="99"/>
    <w:qFormat/>
    <w:rsid w:val="00D66E58"/>
    <w:pPr>
      <w:jc w:val="left"/>
    </w:pPr>
  </w:style>
  <w:style w:type="character" w:customStyle="1" w:styleId="a4">
    <w:name w:val="批注文字 字符"/>
    <w:basedOn w:val="a0"/>
    <w:uiPriority w:val="99"/>
    <w:semiHidden/>
    <w:rsid w:val="00D66E58"/>
    <w:rPr>
      <w:rFonts w:ascii="Times New Roman" w:eastAsia="宋体" w:hAnsi="Times New Roman" w:cs="Times New Roman"/>
    </w:rPr>
  </w:style>
  <w:style w:type="character" w:customStyle="1" w:styleId="11">
    <w:name w:val="批注文字 字符1"/>
    <w:link w:val="a3"/>
    <w:uiPriority w:val="99"/>
    <w:rsid w:val="00D66E58"/>
    <w:rPr>
      <w:rFonts w:ascii="Times New Roman" w:eastAsia="宋体" w:hAnsi="Times New Roman" w:cs="Times New Roman"/>
    </w:rPr>
  </w:style>
  <w:style w:type="character" w:customStyle="1" w:styleId="a5">
    <w:name w:val="列表段落 字符"/>
    <w:link w:val="a6"/>
    <w:uiPriority w:val="34"/>
    <w:rsid w:val="00D66E58"/>
    <w:rPr>
      <w:rFonts w:ascii="Calibri" w:hAnsi="Calibri"/>
      <w:szCs w:val="22"/>
    </w:rPr>
  </w:style>
  <w:style w:type="paragraph" w:styleId="a6">
    <w:name w:val="List Paragraph"/>
    <w:basedOn w:val="a"/>
    <w:link w:val="a5"/>
    <w:uiPriority w:val="34"/>
    <w:qFormat/>
    <w:rsid w:val="00D66E58"/>
    <w:pPr>
      <w:ind w:firstLineChars="200" w:firstLine="420"/>
    </w:pPr>
    <w:rPr>
      <w:rFonts w:ascii="Calibri" w:eastAsiaTheme="minorEastAsia" w:hAnsi="Calibri" w:cstheme="minorBidi"/>
      <w:szCs w:val="22"/>
    </w:rPr>
  </w:style>
  <w:style w:type="paragraph" w:customStyle="1" w:styleId="12">
    <w:name w:val="列表段落1"/>
    <w:basedOn w:val="a"/>
    <w:uiPriority w:val="34"/>
    <w:qFormat/>
    <w:rsid w:val="00D66E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2023-11-08T01:24:00Z</dcterms:created>
  <dcterms:modified xsi:type="dcterms:W3CDTF">2023-11-08T01:27:00Z</dcterms:modified>
</cp:coreProperties>
</file>